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5153C" w:rsidRPr="006D5A33" w:rsidTr="00CB637C">
        <w:tc>
          <w:tcPr>
            <w:tcW w:w="4489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proofErr w:type="gramStart"/>
            <w:r>
              <w:rPr>
                <w:rFonts w:ascii="Times Cyr Bash Normal" w:hAnsi="Times Cyr Bash Normal"/>
                <w:b/>
                <w:caps/>
                <w:lang w:val="ba-RU"/>
              </w:rPr>
              <w:t>ЯРАТОВСКИЙ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D5153C" w:rsidRPr="006D5A33" w:rsidTr="00CB637C">
        <w:tc>
          <w:tcPr>
            <w:tcW w:w="4489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</w:rPr>
              <w:drawing>
                <wp:inline distT="0" distB="0" distL="0" distR="0" wp14:anchorId="4B1FC3CA" wp14:editId="1CA6F194">
                  <wp:extent cx="875030" cy="752475"/>
                  <wp:effectExtent l="0" t="0" r="0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778" cy="75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D5153C" w:rsidRPr="006D5A33" w:rsidTr="00CB637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5153C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D5153C" w:rsidRPr="00B24CBD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153C" w:rsidRPr="00B24CBD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D5153C" w:rsidRPr="00F455EE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479"/>
        <w:gridCol w:w="3979"/>
      </w:tblGrid>
      <w:tr w:rsidR="00D5153C" w:rsidTr="00CB637C">
        <w:tc>
          <w:tcPr>
            <w:tcW w:w="4361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3C" w:rsidRPr="00CD4538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2D35" w:rsidRDefault="00680993" w:rsidP="00D515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D5902">
        <w:rPr>
          <w:rFonts w:ascii="Times New Roman" w:hAnsi="Times New Roman" w:cs="Times New Roman"/>
          <w:sz w:val="28"/>
          <w:szCs w:val="28"/>
        </w:rPr>
        <w:t>28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» </w:t>
      </w:r>
      <w:r w:rsidR="00A147D9">
        <w:rPr>
          <w:rFonts w:ascii="Times New Roman" w:hAnsi="Times New Roman" w:cs="Times New Roman"/>
          <w:sz w:val="28"/>
          <w:szCs w:val="28"/>
        </w:rPr>
        <w:t xml:space="preserve"> июн</w:t>
      </w:r>
      <w:r w:rsidR="000D5902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53C" w:rsidRPr="009E12D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7D9">
        <w:rPr>
          <w:rFonts w:ascii="Times New Roman" w:hAnsi="Times New Roman" w:cs="Times New Roman"/>
          <w:sz w:val="28"/>
          <w:szCs w:val="28"/>
        </w:rPr>
        <w:t xml:space="preserve">    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№</w:t>
      </w:r>
      <w:r w:rsidR="001A7D61">
        <w:rPr>
          <w:rFonts w:ascii="Times New Roman" w:hAnsi="Times New Roman" w:cs="Times New Roman"/>
          <w:sz w:val="28"/>
          <w:szCs w:val="28"/>
        </w:rPr>
        <w:t xml:space="preserve"> </w:t>
      </w:r>
      <w:r w:rsidR="000D5902">
        <w:rPr>
          <w:rFonts w:ascii="Times New Roman" w:hAnsi="Times New Roman" w:cs="Times New Roman"/>
          <w:sz w:val="28"/>
          <w:szCs w:val="28"/>
        </w:rPr>
        <w:t>43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 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«</w:t>
      </w:r>
      <w:r w:rsidR="00A147D9">
        <w:rPr>
          <w:rFonts w:ascii="Times New Roman" w:hAnsi="Times New Roman" w:cs="Times New Roman"/>
          <w:sz w:val="28"/>
          <w:szCs w:val="28"/>
        </w:rPr>
        <w:t xml:space="preserve"> </w:t>
      </w:r>
      <w:r w:rsidR="00112D35">
        <w:rPr>
          <w:rFonts w:ascii="Times New Roman" w:hAnsi="Times New Roman" w:cs="Times New Roman"/>
          <w:sz w:val="28"/>
          <w:szCs w:val="28"/>
        </w:rPr>
        <w:t>2</w:t>
      </w:r>
      <w:r w:rsidR="000D5902">
        <w:rPr>
          <w:rFonts w:ascii="Times New Roman" w:hAnsi="Times New Roman" w:cs="Times New Roman"/>
          <w:sz w:val="28"/>
          <w:szCs w:val="28"/>
        </w:rPr>
        <w:t>8</w:t>
      </w:r>
      <w:r w:rsidR="00B44F05" w:rsidRPr="009E12D7">
        <w:rPr>
          <w:rFonts w:ascii="Times New Roman" w:hAnsi="Times New Roman" w:cs="Times New Roman"/>
          <w:sz w:val="28"/>
          <w:szCs w:val="28"/>
        </w:rPr>
        <w:t xml:space="preserve">» </w:t>
      </w:r>
      <w:r w:rsidR="00A147D9">
        <w:rPr>
          <w:rFonts w:ascii="Times New Roman" w:hAnsi="Times New Roman" w:cs="Times New Roman"/>
          <w:sz w:val="28"/>
          <w:szCs w:val="28"/>
        </w:rPr>
        <w:t xml:space="preserve"> июня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5902" w:rsidRDefault="000D5902" w:rsidP="000D59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Порядке  предоставления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бюджетных инвестиций  юридическим лицам, не являющимся государственными или муниципальными учреждениями и государственными или муниципальными предприятиями, в объекты капитального строительства за счет средств бюджета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         В соответствии со статьей 80 Бюджетного кодекса Российской Федерации, уставом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район Республики Башкортостан </w:t>
      </w:r>
    </w:p>
    <w:p w:rsidR="000D5902" w:rsidRDefault="000D5902" w:rsidP="000D59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Определить  Порядок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 бюджетных инвестиций  юридическим лицам, не являющимся государственными или муниципальными учреждениями и государственными или муниципальными предприятиями, в объекты капитального строительства за счет средств бюджета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(Приложение).</w:t>
      </w:r>
    </w:p>
    <w:p w:rsidR="000D5902" w:rsidRDefault="000D5902" w:rsidP="000D590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2.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Установить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требования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договорам, заключенным в связи с предоставлением бюджетных инвестиций юридическим лицам, не являющимся государственными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муниципальными учреждениями или государственными или муниципальными унитарными предприятиями за счет средств бюджета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(Приложение № 1)</w:t>
      </w:r>
    </w:p>
    <w:p w:rsidR="000D5902" w:rsidRDefault="000D5902" w:rsidP="000D590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Разместить на официальном сайте в сети Интернет Администрации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D5902" w:rsidRDefault="000D5902" w:rsidP="000D59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  Настоящее постановление вступает в силу со дня его подписания.</w:t>
      </w:r>
    </w:p>
    <w:p w:rsidR="000D5902" w:rsidRDefault="000D5902" w:rsidP="000D59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 Положения пункта 4 Порядка предоставления  бюджетных инвестиций  юридическим лицам, не являющимся государственными или муниципальными учреждениями и государственными или муниципальными предприятиями, в объекты капитального строительства за счет средств бюджета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применяется к правоотношениям, возникающим при составлении и исполнении бюджета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начиная с бюджета на 20122 год (на 2022 год и на плановый период 2023 и 2024 годов).</w:t>
      </w:r>
    </w:p>
    <w:p w:rsidR="000D5902" w:rsidRDefault="000D5902" w:rsidP="000D5902">
      <w:pPr>
        <w:widowControl w:val="0"/>
        <w:shd w:val="clear" w:color="auto" w:fill="FFFFFF"/>
        <w:tabs>
          <w:tab w:val="left" w:pos="355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 Администрации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сельского поселения Яратовский 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Ярмухаметов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Ф.Т.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Яратовский сельсовет 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» июня 2022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Порядок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бюджетных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инвестиций  юридическим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лицам, не являющимся государственными или муниципальными учреждениями и государственными или муниципальными предприятиями, в объекты капитального строительства за счет средств бюджета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(далее-Порядок)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bookmarkStart w:id="1" w:name="sub_1001"/>
      <w:r>
        <w:rPr>
          <w:rFonts w:ascii="Times New Roman" w:eastAsia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Настоящий  Порядок  определяет правила  предоставления бюджетных инвестиций 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субъекты инвестиций), в объекты капитального строительства за счет средств бюджета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на реализацию инвестиционных проектов по строительству (реконструкции) объектов капитального строительства и (или) приобретению объектов недвижимого имущества (далее - бюджетные инвестиции).</w:t>
      </w:r>
    </w:p>
    <w:bookmarkEnd w:id="1"/>
    <w:p w:rsidR="000D5902" w:rsidRDefault="000D5902" w:rsidP="000D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Предоставление бюджетных инвестиций субъектам инвестиций влечет возникновение права муниципальной собственности на эквивалентную часть уставных (складочных) капиталов юридических лиц - субъектов инвестиций, которое оформляется участием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 в уставном (складочном) капитале субъектов инвестиций в соответствии с </w:t>
      </w:r>
      <w:hyperlink r:id="rId9" w:history="1">
        <w:r>
          <w:rPr>
            <w:rStyle w:val="af5"/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гражданским 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0D5902" w:rsidRDefault="000D5902" w:rsidP="000D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100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Решение о предоставлении субъектам инвестиций бюджетных инвестиций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объекты капитального строительства и (или) на приобретение объектов недвижимого имущества за счет средств бюджета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 (далее - решение о предоставлении бюджетных инвестиций) принимается  Администрацией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 в виде постановления Администрации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 Не допускается  предоставление бюджетных  инвестиций иностранным юридическим лицам, в том числе местом 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компании).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бюджетных инвестиций.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 Решение 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 бюджетных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инвестиций должно содержать в отношении каждого объекта капитального строительства и (или) объекта недвижимого имущества: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б) направление инвестирования (строительство, реконструкция объекта капитального строительства и (или) приобретение объекта недвижимости);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 определение главного распорядителя;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г) определение застройщика или заказчика (заказчика-застройщика);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д) срок ввода в эксплуатацию объекта капитального строительства и (или) приобретения объекта недвижимости;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е) сметная стоимость объекта капитального строительства (при наличии утвержденной проектной документации) или предполагаемая (предельная) стоимость объекта капитального строительства и 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ж) общий (предельный) объем бюджетных инвестиций, предоставляемых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з) общий объем собственных и 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а) разработка проектной документации на объекты капитального 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проведение инженерных изысканий, выполняемых для подготовки такой проектной документации;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 приобретение земельных участков под строительство;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 проведение технологического и ценового аудита инвестиционных проектов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строительству (реконструкции) объектов капитального строительства;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г) 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д) проведение проверки достоверности определения сметной стоимости объектов капитального строительства, строительство (реконструкция) которых финансируется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привлечением средств бюджета Советского района.</w:t>
      </w:r>
    </w:p>
    <w:bookmarkEnd w:id="2"/>
    <w:p w:rsidR="000D5902" w:rsidRDefault="000D5902" w:rsidP="000D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Инициатором  подготовки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решений о предоставлении  бюджетных инвестиций является   Администрация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ответственная  за реализацию мероприятий, предусмотренных  соответствующей муниципальной программой 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Башкортостан.</w:t>
      </w:r>
    </w:p>
    <w:p w:rsidR="000D5902" w:rsidRDefault="000D5902" w:rsidP="000D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8. Предоставление бюджетных инвестиций осуществляется на основании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 участии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в собственности субъекта инвестиций.</w:t>
      </w:r>
    </w:p>
    <w:p w:rsidR="000D5902" w:rsidRDefault="000D5902" w:rsidP="000D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Договор об участии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Башкортостан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субъекта инвестиций заключается между Администрацией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и субъектом инвестиций. Подготовка проекта решения о предоставлении бюджетных инвестиций, проекта договора, указанного в настоящем пункте, и согласование в установленном порядке осуществляются Администрацией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Башкортостан.  Отсутствие оформленных в установленном порядке договоров служит основанием для непредставления бюджетных инвестиций.</w:t>
      </w:r>
    </w:p>
    <w:p w:rsidR="000D5902" w:rsidRDefault="000D5902" w:rsidP="000D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9. Отчет об использовании бюджетных инвестиций предоставляется субъектом инвестиций уполномоченному органу в порядке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установленные договором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предоставлении бюджетных инвестиций.</w:t>
      </w:r>
    </w:p>
    <w:p w:rsidR="000D5902" w:rsidRDefault="000D5902" w:rsidP="000D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10. Контроль за целевым использованием бюджетных инвестиций осуществляет уполномоченный орган и органы муниципального финансового контроля.</w:t>
      </w:r>
    </w:p>
    <w:p w:rsidR="000D5902" w:rsidRDefault="000D5902" w:rsidP="000D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11. В случае нецелевого использования бюджетных инвестиций юридическое лицо - субъект инвестиций в срок не более 2-х месяцев со дня получения уведомления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уполномоченного органа обязано перечислить денежные средства, полученные в виде бюджетных инвестиций,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 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 в полном объеме.</w:t>
      </w:r>
    </w:p>
    <w:p w:rsidR="000D5902" w:rsidRDefault="000D5902" w:rsidP="000D5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12. Договор между Администрацией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и субъектом инвестиций об участии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в собственности субъекта инвестиций оформляется в течение трех месяцев после дня вступления в силу решения о бюджете.</w:t>
      </w: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Яратовский сельсовет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0D5902" w:rsidRDefault="000D5902" w:rsidP="000D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июня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bookmarkStart w:id="3" w:name="_GoBack"/>
      <w:bookmarkEnd w:id="3"/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</w:t>
      </w:r>
    </w:p>
    <w:p w:rsidR="000D5902" w:rsidRDefault="000D5902" w:rsidP="000D5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договорам, заключенным в связи с предоставлением бюджетных инвестиций юридическим лицам, не являющимся государственными и муниципальными учреждениями или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муниципальными унитарными предприятиями за счет средств бюджета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0D5902" w:rsidRDefault="000D5902" w:rsidP="000D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2001"/>
      <w:r>
        <w:rPr>
          <w:rFonts w:ascii="Times New Roman" w:eastAsia="Times New Roman" w:hAnsi="Times New Roman" w:cs="Times New Roman"/>
          <w:sz w:val="24"/>
          <w:szCs w:val="24"/>
        </w:rPr>
        <w:t xml:space="preserve">1. Предоставление бюджетных инвестиций юридическим лицам, не являющимся государственными и муниципальными учреждениями или государственными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муниципальными унитарными предприятиями (далее - субъект инвестиций), осуществляется в соответствии с договором об участии 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(далее - инвестор) в собственности субъекта инвестиций.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002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2. Договор об участии инвестора в собственности субъекта инвестиций должен содержать, в том числе, следующие положения: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003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а) целевое назначение бюджетных инвестиций;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004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б) общий объем капитальных вложений за счет всех источников финансового обеспечения (в том числе объем предоставляемых бюджетных инвестиций);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005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в) условие о предоставлении бюджетных инвестиций не ранее принятия уполномоченным органом субъекта инвестиций решения об увеличении уставного капитала на сумму предоставляемых бюджетных инвестиций;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2006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г) положения, устанавливающие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обязанности сторон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порядок их взаимодействия при реализации указанного договора;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2007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д) порядок и условия перечисления денежных средств;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2008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е) 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Федерации;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 порядок и сроки представления субъектом инвестиций отчетности об использовании бюджетных инвестиций по форме, установленной инвестором;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009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з) порядок и основания возврата бюджетных инвестиций;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01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и) право инвестора и органов муниципального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Яратовский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проведение проверок за соблюдением условий предоставления бюджетных инвестиций;</w:t>
      </w:r>
    </w:p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2011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к) ответственность сторон за неисполнение или ненадлежащее исполнение обязательств по указанному договору;</w:t>
      </w:r>
    </w:p>
    <w:bookmarkEnd w:id="14"/>
    <w:p w:rsidR="000D5902" w:rsidRDefault="000D5902" w:rsidP="000D5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срок действия договора, порядок изменения и расторжения договора;</w:t>
      </w:r>
    </w:p>
    <w:p w:rsidR="00C42098" w:rsidRPr="00A42CA4" w:rsidRDefault="000D5902" w:rsidP="000D5902">
      <w:pPr>
        <w:pStyle w:val="ConsPlusTitle"/>
        <w:widowControl/>
        <w:jc w:val="center"/>
        <w:rPr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м) иные положения в соответствии с действующим законодательством.</w:t>
      </w:r>
    </w:p>
    <w:sectPr w:rsidR="00C42098" w:rsidRPr="00A42CA4" w:rsidSect="00A914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E06" w:rsidRDefault="006E5E06" w:rsidP="009C761B">
      <w:pPr>
        <w:spacing w:after="0" w:line="240" w:lineRule="auto"/>
      </w:pPr>
      <w:r>
        <w:separator/>
      </w:r>
    </w:p>
  </w:endnote>
  <w:endnote w:type="continuationSeparator" w:id="0">
    <w:p w:rsidR="006E5E06" w:rsidRDefault="006E5E06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E06" w:rsidRDefault="006E5E06" w:rsidP="009C761B">
      <w:pPr>
        <w:spacing w:after="0" w:line="240" w:lineRule="auto"/>
      </w:pPr>
      <w:r>
        <w:separator/>
      </w:r>
    </w:p>
  </w:footnote>
  <w:footnote w:type="continuationSeparator" w:id="0">
    <w:p w:rsidR="006E5E06" w:rsidRDefault="006E5E06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6236"/>
    <w:multiLevelType w:val="hybridMultilevel"/>
    <w:tmpl w:val="4ABA5250"/>
    <w:lvl w:ilvl="0" w:tplc="9B50E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4"/>
    <w:rsid w:val="00033148"/>
    <w:rsid w:val="000511F8"/>
    <w:rsid w:val="00054761"/>
    <w:rsid w:val="000648F0"/>
    <w:rsid w:val="00093F3B"/>
    <w:rsid w:val="000A1507"/>
    <w:rsid w:val="000A25C4"/>
    <w:rsid w:val="000B23F3"/>
    <w:rsid w:val="000D5902"/>
    <w:rsid w:val="000F11A0"/>
    <w:rsid w:val="00112D35"/>
    <w:rsid w:val="00117C41"/>
    <w:rsid w:val="00173EE3"/>
    <w:rsid w:val="001A0918"/>
    <w:rsid w:val="001A7D61"/>
    <w:rsid w:val="001E5ABB"/>
    <w:rsid w:val="00204C52"/>
    <w:rsid w:val="00295EE6"/>
    <w:rsid w:val="002B67DF"/>
    <w:rsid w:val="002B7693"/>
    <w:rsid w:val="002C5729"/>
    <w:rsid w:val="002E5DC7"/>
    <w:rsid w:val="002E70AF"/>
    <w:rsid w:val="002F04C2"/>
    <w:rsid w:val="003006A0"/>
    <w:rsid w:val="0034082A"/>
    <w:rsid w:val="00350633"/>
    <w:rsid w:val="00374491"/>
    <w:rsid w:val="003969D2"/>
    <w:rsid w:val="003B5AE0"/>
    <w:rsid w:val="003D47E7"/>
    <w:rsid w:val="004459E5"/>
    <w:rsid w:val="00455887"/>
    <w:rsid w:val="004947D0"/>
    <w:rsid w:val="004B5960"/>
    <w:rsid w:val="004D524D"/>
    <w:rsid w:val="00507710"/>
    <w:rsid w:val="0051538B"/>
    <w:rsid w:val="00556420"/>
    <w:rsid w:val="00567D3B"/>
    <w:rsid w:val="005B6954"/>
    <w:rsid w:val="005D599C"/>
    <w:rsid w:val="006306A2"/>
    <w:rsid w:val="006353A8"/>
    <w:rsid w:val="006644E5"/>
    <w:rsid w:val="00680993"/>
    <w:rsid w:val="006E5E06"/>
    <w:rsid w:val="00717F0A"/>
    <w:rsid w:val="00800D10"/>
    <w:rsid w:val="00812F26"/>
    <w:rsid w:val="00815566"/>
    <w:rsid w:val="00815574"/>
    <w:rsid w:val="0088681B"/>
    <w:rsid w:val="008945F4"/>
    <w:rsid w:val="008B786F"/>
    <w:rsid w:val="00936F75"/>
    <w:rsid w:val="00946B64"/>
    <w:rsid w:val="00956E7C"/>
    <w:rsid w:val="00957F44"/>
    <w:rsid w:val="00961E77"/>
    <w:rsid w:val="00965F19"/>
    <w:rsid w:val="009C761B"/>
    <w:rsid w:val="009D2C4E"/>
    <w:rsid w:val="009D3DE1"/>
    <w:rsid w:val="009D7B0E"/>
    <w:rsid w:val="009E12D7"/>
    <w:rsid w:val="009F466C"/>
    <w:rsid w:val="00A147D9"/>
    <w:rsid w:val="00A3268C"/>
    <w:rsid w:val="00A42CA4"/>
    <w:rsid w:val="00A60C5B"/>
    <w:rsid w:val="00A700AB"/>
    <w:rsid w:val="00A91482"/>
    <w:rsid w:val="00AF63F0"/>
    <w:rsid w:val="00B11E91"/>
    <w:rsid w:val="00B44F05"/>
    <w:rsid w:val="00B50F27"/>
    <w:rsid w:val="00B51C96"/>
    <w:rsid w:val="00B72BC2"/>
    <w:rsid w:val="00B83306"/>
    <w:rsid w:val="00BB1F33"/>
    <w:rsid w:val="00BC2956"/>
    <w:rsid w:val="00C30AA6"/>
    <w:rsid w:val="00C42098"/>
    <w:rsid w:val="00C47F7B"/>
    <w:rsid w:val="00C953AB"/>
    <w:rsid w:val="00CA41FB"/>
    <w:rsid w:val="00CB637C"/>
    <w:rsid w:val="00CE4E07"/>
    <w:rsid w:val="00CF58F9"/>
    <w:rsid w:val="00CF5EC6"/>
    <w:rsid w:val="00CF6749"/>
    <w:rsid w:val="00D03D97"/>
    <w:rsid w:val="00D33CC4"/>
    <w:rsid w:val="00D44EFE"/>
    <w:rsid w:val="00D47497"/>
    <w:rsid w:val="00D5153C"/>
    <w:rsid w:val="00DC2D52"/>
    <w:rsid w:val="00DE43CC"/>
    <w:rsid w:val="00E1567D"/>
    <w:rsid w:val="00E52FEA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20D"/>
  <w15:docId w15:val="{466DA15B-117F-47B7-9542-1EC3AA4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C9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uiPriority w:val="1"/>
    <w:qFormat/>
    <w:rsid w:val="003006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9">
    <w:name w:val="Strong"/>
    <w:basedOn w:val="a0"/>
    <w:qFormat/>
    <w:rsid w:val="00300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1B77-6190-4F03-B0D2-5B1215EE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Яратовский с.с</cp:lastModifiedBy>
  <cp:revision>79</cp:revision>
  <cp:lastPrinted>2022-06-24T03:35:00Z</cp:lastPrinted>
  <dcterms:created xsi:type="dcterms:W3CDTF">2016-07-29T05:33:00Z</dcterms:created>
  <dcterms:modified xsi:type="dcterms:W3CDTF">2022-06-28T03:50:00Z</dcterms:modified>
</cp:coreProperties>
</file>